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C5427" w14:textId="77777777" w:rsidR="00994650" w:rsidRPr="00307A87" w:rsidRDefault="00BB28BD">
      <w:pPr>
        <w:tabs>
          <w:tab w:val="left" w:pos="7004"/>
        </w:tabs>
        <w:ind w:left="445"/>
        <w:rPr>
          <w:rFonts w:ascii="Times New Roman"/>
          <w:sz w:val="20"/>
        </w:rPr>
      </w:pPr>
      <w:r w:rsidRPr="00307A87">
        <w:rPr>
          <w:rFonts w:ascii="Times New Roman"/>
          <w:noProof/>
          <w:sz w:val="20"/>
        </w:rPr>
        <w:drawing>
          <wp:inline distT="0" distB="0" distL="0" distR="0" wp14:anchorId="718F0490" wp14:editId="16AEEDFE">
            <wp:extent cx="1365456" cy="64922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365456" cy="649224"/>
                    </a:xfrm>
                    <a:prstGeom prst="rect">
                      <a:avLst/>
                    </a:prstGeom>
                  </pic:spPr>
                </pic:pic>
              </a:graphicData>
            </a:graphic>
          </wp:inline>
        </w:drawing>
      </w:r>
      <w:r w:rsidRPr="00307A87">
        <w:rPr>
          <w:rFonts w:ascii="Times New Roman"/>
          <w:sz w:val="20"/>
        </w:rPr>
        <w:tab/>
      </w:r>
      <w:r w:rsidRPr="00307A87">
        <w:rPr>
          <w:noProof/>
        </w:rPr>
        <w:drawing>
          <wp:inline distT="0" distB="0" distL="0" distR="0" wp14:anchorId="4FECEF7B" wp14:editId="4FAC2317">
            <wp:extent cx="1041924" cy="451103"/>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041924" cy="451103"/>
                    </a:xfrm>
                    <a:prstGeom prst="rect">
                      <a:avLst/>
                    </a:prstGeom>
                  </pic:spPr>
                </pic:pic>
              </a:graphicData>
            </a:graphic>
          </wp:inline>
        </w:drawing>
      </w:r>
    </w:p>
    <w:p w14:paraId="54354990" w14:textId="77777777" w:rsidR="00994650" w:rsidRPr="00307A87" w:rsidRDefault="00994650">
      <w:pPr>
        <w:pStyle w:val="Textoindependiente"/>
        <w:rPr>
          <w:rFonts w:ascii="Times New Roman"/>
          <w:sz w:val="19"/>
        </w:rPr>
      </w:pPr>
    </w:p>
    <w:p w14:paraId="1B53FAA6" w14:textId="77777777" w:rsidR="00994650" w:rsidRPr="00307A87" w:rsidRDefault="00BB28BD">
      <w:pPr>
        <w:spacing w:before="92"/>
        <w:ind w:left="461"/>
        <w:rPr>
          <w:b/>
          <w:sz w:val="24"/>
        </w:rPr>
      </w:pPr>
      <w:r w:rsidRPr="00307A87">
        <w:rPr>
          <w:b/>
          <w:sz w:val="24"/>
          <w:u w:val="thick"/>
        </w:rPr>
        <w:t>SCHOOL INSURANCE COVERAGE FOR UCAM STUDENTS</w:t>
      </w:r>
    </w:p>
    <w:p w14:paraId="7FC363E7" w14:textId="77777777" w:rsidR="00994650" w:rsidRPr="00307A87" w:rsidRDefault="00994650">
      <w:pPr>
        <w:pStyle w:val="Textoindependiente"/>
        <w:spacing w:before="0"/>
        <w:rPr>
          <w:b/>
          <w:sz w:val="20"/>
        </w:rPr>
      </w:pPr>
    </w:p>
    <w:p w14:paraId="05DC9E91" w14:textId="77777777" w:rsidR="00994650" w:rsidRPr="00307A87" w:rsidRDefault="00994650">
      <w:pPr>
        <w:pStyle w:val="Textoindependiente"/>
        <w:rPr>
          <w:b/>
          <w:sz w:val="21"/>
        </w:rPr>
      </w:pPr>
    </w:p>
    <w:p w14:paraId="7BBBC7B6" w14:textId="77777777" w:rsidR="00994650" w:rsidRPr="00307A87" w:rsidRDefault="00BB28BD">
      <w:pPr>
        <w:pStyle w:val="Ttulo1"/>
        <w:numPr>
          <w:ilvl w:val="0"/>
          <w:numId w:val="1"/>
        </w:numPr>
        <w:tabs>
          <w:tab w:val="left" w:pos="525"/>
        </w:tabs>
        <w:spacing w:line="362" w:lineRule="auto"/>
        <w:ind w:right="5450" w:firstLine="0"/>
      </w:pPr>
      <w:r w:rsidRPr="00307A87">
        <w:t>CONTINUATION OF STUDIES Insured guarantees:</w:t>
      </w:r>
    </w:p>
    <w:p w14:paraId="6DE9834E" w14:textId="77777777" w:rsidR="00994650" w:rsidRPr="00307A87" w:rsidRDefault="00BB28BD">
      <w:pPr>
        <w:pStyle w:val="Prrafodelista"/>
        <w:numPr>
          <w:ilvl w:val="1"/>
          <w:numId w:val="1"/>
        </w:numPr>
        <w:tabs>
          <w:tab w:val="left" w:pos="1023"/>
          <w:tab w:val="left" w:pos="1024"/>
        </w:tabs>
        <w:spacing w:before="10"/>
        <w:rPr>
          <w:sz w:val="18"/>
        </w:rPr>
      </w:pPr>
      <w:r w:rsidRPr="00307A87">
        <w:rPr>
          <w:sz w:val="18"/>
        </w:rPr>
        <w:t>Death from any cause.</w:t>
      </w:r>
    </w:p>
    <w:p w14:paraId="325F40A5" w14:textId="77777777" w:rsidR="00994650" w:rsidRPr="00307A87" w:rsidRDefault="00BB28BD">
      <w:pPr>
        <w:pStyle w:val="Prrafodelista"/>
        <w:numPr>
          <w:ilvl w:val="1"/>
          <w:numId w:val="1"/>
        </w:numPr>
        <w:tabs>
          <w:tab w:val="left" w:pos="1023"/>
          <w:tab w:val="left" w:pos="1024"/>
        </w:tabs>
        <w:spacing w:before="28"/>
        <w:rPr>
          <w:sz w:val="18"/>
        </w:rPr>
      </w:pPr>
      <w:r w:rsidRPr="00307A87">
        <w:rPr>
          <w:sz w:val="18"/>
        </w:rPr>
        <w:t>Permanent total incapacity.</w:t>
      </w:r>
    </w:p>
    <w:p w14:paraId="0B3FD6C8" w14:textId="77777777" w:rsidR="00994650" w:rsidRPr="00307A87" w:rsidRDefault="00BB28BD">
      <w:pPr>
        <w:pStyle w:val="Ttulo1"/>
        <w:spacing w:before="144"/>
      </w:pPr>
      <w:r w:rsidRPr="00307A87">
        <w:t>Insurance conditions</w:t>
      </w:r>
    </w:p>
    <w:p w14:paraId="2B1F6C28" w14:textId="77777777" w:rsidR="00994650" w:rsidRPr="00307A87" w:rsidRDefault="00BB28BD">
      <w:pPr>
        <w:pStyle w:val="Textoindependiente"/>
        <w:spacing w:before="124"/>
        <w:ind w:left="303" w:right="115"/>
        <w:jc w:val="both"/>
      </w:pPr>
      <w:r w:rsidRPr="00307A87">
        <w:t>Only one head of the family unit will have the status of insured person; either the main breadwinner, father, mother or legal guardian appointed by court decision of the family to which the student under 29 years of age belongs; or the student himself, ove</w:t>
      </w:r>
      <w:r w:rsidRPr="00307A87">
        <w:t>r 29 years of age, in the case of being emancipated.</w:t>
      </w:r>
    </w:p>
    <w:p w14:paraId="6F850887" w14:textId="77777777" w:rsidR="00994650" w:rsidRPr="00307A87" w:rsidRDefault="00BB28BD">
      <w:pPr>
        <w:pStyle w:val="Ttulo1"/>
        <w:spacing w:before="114"/>
      </w:pPr>
      <w:r w:rsidRPr="00307A87">
        <w:t>Insured capital</w:t>
      </w:r>
    </w:p>
    <w:p w14:paraId="5DA5269E" w14:textId="77777777" w:rsidR="00994650" w:rsidRPr="00307A87" w:rsidRDefault="00BB28BD">
      <w:pPr>
        <w:pStyle w:val="Textoindependiente"/>
        <w:spacing w:before="124"/>
        <w:ind w:left="303" w:right="118"/>
        <w:jc w:val="both"/>
      </w:pPr>
      <w:r w:rsidRPr="00307A87">
        <w:t>The amount of the insured capital will be the equivalent of the cost of the registration fee, from the time of the incident until the completion of the studies if they are pursued with go</w:t>
      </w:r>
      <w:r w:rsidRPr="00307A87">
        <w:t>od results, and will be calculated according to the prices in force at that time, including the current year.</w:t>
      </w:r>
    </w:p>
    <w:p w14:paraId="23C753BE" w14:textId="77777777" w:rsidR="00994650" w:rsidRPr="00307A87" w:rsidRDefault="00BB28BD">
      <w:pPr>
        <w:pStyle w:val="Textoindependiente"/>
        <w:spacing w:before="121"/>
        <w:ind w:left="303" w:right="122"/>
        <w:jc w:val="both"/>
      </w:pPr>
      <w:r w:rsidRPr="00307A87">
        <w:t xml:space="preserve">The general, particular and special conditions of the policy 30.000.747 issued by Caser </w:t>
      </w:r>
      <w:proofErr w:type="spellStart"/>
      <w:r w:rsidRPr="00307A87">
        <w:t>Seguros</w:t>
      </w:r>
      <w:proofErr w:type="spellEnd"/>
      <w:r w:rsidRPr="00307A87">
        <w:t xml:space="preserve"> and the policyholder Fundación </w:t>
      </w:r>
      <w:proofErr w:type="spellStart"/>
      <w:r w:rsidRPr="00307A87">
        <w:t>Universitaria</w:t>
      </w:r>
      <w:proofErr w:type="spellEnd"/>
      <w:r w:rsidRPr="00307A87">
        <w:t xml:space="preserve"> San A</w:t>
      </w:r>
      <w:r w:rsidRPr="00307A87">
        <w:t>ntonio are applicable. Any loss is subject to what is specified therein.</w:t>
      </w:r>
    </w:p>
    <w:p w14:paraId="30E4596B" w14:textId="77777777" w:rsidR="00994650" w:rsidRPr="00307A87" w:rsidRDefault="00994650">
      <w:pPr>
        <w:pStyle w:val="Textoindependiente"/>
        <w:spacing w:before="1"/>
        <w:rPr>
          <w:sz w:val="14"/>
        </w:rPr>
      </w:pPr>
    </w:p>
    <w:tbl>
      <w:tblPr>
        <w:tblStyle w:val="TableNormal"/>
        <w:tblW w:w="0" w:type="auto"/>
        <w:tblInd w:w="101" w:type="dxa"/>
        <w:tblLayout w:type="fixed"/>
        <w:tblLook w:val="01E0" w:firstRow="1" w:lastRow="1" w:firstColumn="1" w:lastColumn="1" w:noHBand="0" w:noVBand="0"/>
      </w:tblPr>
      <w:tblGrid>
        <w:gridCol w:w="6318"/>
        <w:gridCol w:w="2168"/>
      </w:tblGrid>
      <w:tr w:rsidR="00994650" w:rsidRPr="00307A87" w14:paraId="02EB9D1F" w14:textId="77777777">
        <w:trPr>
          <w:trHeight w:val="287"/>
        </w:trPr>
        <w:tc>
          <w:tcPr>
            <w:tcW w:w="6318" w:type="dxa"/>
          </w:tcPr>
          <w:p w14:paraId="43473CF5" w14:textId="77777777" w:rsidR="00994650" w:rsidRPr="00307A87" w:rsidRDefault="00BB28BD">
            <w:pPr>
              <w:pStyle w:val="TableParagraph"/>
              <w:spacing w:before="0" w:line="223" w:lineRule="exact"/>
              <w:ind w:left="200"/>
              <w:rPr>
                <w:b/>
                <w:sz w:val="20"/>
              </w:rPr>
            </w:pPr>
            <w:r w:rsidRPr="00307A87">
              <w:rPr>
                <w:b/>
                <w:sz w:val="20"/>
              </w:rPr>
              <w:t>2. ACCIDENT OF THE INSURED STUDENT</w:t>
            </w:r>
          </w:p>
        </w:tc>
        <w:tc>
          <w:tcPr>
            <w:tcW w:w="2168" w:type="dxa"/>
          </w:tcPr>
          <w:p w14:paraId="1EFA49BD" w14:textId="77777777" w:rsidR="00994650" w:rsidRPr="00307A87" w:rsidRDefault="00BB28BD">
            <w:pPr>
              <w:pStyle w:val="TableParagraph"/>
              <w:spacing w:before="14"/>
              <w:ind w:left="406"/>
              <w:rPr>
                <w:b/>
                <w:sz w:val="18"/>
              </w:rPr>
            </w:pPr>
            <w:r w:rsidRPr="00307A87">
              <w:rPr>
                <w:b/>
                <w:sz w:val="18"/>
              </w:rPr>
              <w:t>Insured capital</w:t>
            </w:r>
          </w:p>
        </w:tc>
      </w:tr>
      <w:tr w:rsidR="00994650" w:rsidRPr="00307A87" w14:paraId="52DE92F3" w14:textId="77777777">
        <w:trPr>
          <w:trHeight w:val="329"/>
        </w:trPr>
        <w:tc>
          <w:tcPr>
            <w:tcW w:w="6318" w:type="dxa"/>
          </w:tcPr>
          <w:p w14:paraId="23F7705A" w14:textId="77777777" w:rsidR="00994650" w:rsidRPr="00307A87" w:rsidRDefault="00BB28BD">
            <w:pPr>
              <w:pStyle w:val="TableParagraph"/>
              <w:spacing w:before="59"/>
              <w:rPr>
                <w:sz w:val="18"/>
              </w:rPr>
            </w:pPr>
            <w:r w:rsidRPr="00307A87">
              <w:rPr>
                <w:sz w:val="18"/>
              </w:rPr>
              <w:t>Death by accident.</w:t>
            </w:r>
          </w:p>
        </w:tc>
        <w:tc>
          <w:tcPr>
            <w:tcW w:w="2168" w:type="dxa"/>
          </w:tcPr>
          <w:p w14:paraId="669DE81D" w14:textId="77777777" w:rsidR="00994650" w:rsidRPr="00307A87" w:rsidRDefault="00BB28BD">
            <w:pPr>
              <w:pStyle w:val="TableParagraph"/>
              <w:spacing w:before="59"/>
              <w:ind w:left="1124"/>
              <w:rPr>
                <w:sz w:val="18"/>
              </w:rPr>
            </w:pPr>
            <w:r w:rsidRPr="00307A87">
              <w:rPr>
                <w:sz w:val="18"/>
              </w:rPr>
              <w:t>24,000 €</w:t>
            </w:r>
          </w:p>
        </w:tc>
      </w:tr>
      <w:tr w:rsidR="00994650" w:rsidRPr="00307A87" w14:paraId="5B0761FB" w14:textId="77777777">
        <w:trPr>
          <w:trHeight w:val="326"/>
        </w:trPr>
        <w:tc>
          <w:tcPr>
            <w:tcW w:w="6318" w:type="dxa"/>
          </w:tcPr>
          <w:p w14:paraId="3FB85C21" w14:textId="77777777" w:rsidR="00994650" w:rsidRPr="00307A87" w:rsidRDefault="00BB28BD">
            <w:pPr>
              <w:pStyle w:val="TableParagraph"/>
              <w:rPr>
                <w:sz w:val="18"/>
              </w:rPr>
            </w:pPr>
            <w:r w:rsidRPr="00307A87">
              <w:rPr>
                <w:sz w:val="18"/>
              </w:rPr>
              <w:t>Permanent total incapacity by accident.</w:t>
            </w:r>
          </w:p>
        </w:tc>
        <w:tc>
          <w:tcPr>
            <w:tcW w:w="2168" w:type="dxa"/>
          </w:tcPr>
          <w:p w14:paraId="1EB32E64" w14:textId="77777777" w:rsidR="00994650" w:rsidRPr="00307A87" w:rsidRDefault="00BB28BD">
            <w:pPr>
              <w:pStyle w:val="TableParagraph"/>
              <w:ind w:left="1124"/>
              <w:rPr>
                <w:sz w:val="18"/>
              </w:rPr>
            </w:pPr>
            <w:r w:rsidRPr="00307A87">
              <w:rPr>
                <w:sz w:val="18"/>
              </w:rPr>
              <w:t>24,000 €</w:t>
            </w:r>
          </w:p>
        </w:tc>
      </w:tr>
      <w:tr w:rsidR="00994650" w:rsidRPr="00307A87" w14:paraId="0A096610" w14:textId="77777777">
        <w:trPr>
          <w:trHeight w:val="534"/>
        </w:trPr>
        <w:tc>
          <w:tcPr>
            <w:tcW w:w="6318" w:type="dxa"/>
          </w:tcPr>
          <w:p w14:paraId="4546C81A" w14:textId="77777777" w:rsidR="00994650" w:rsidRPr="00307A87" w:rsidRDefault="00BB28BD">
            <w:pPr>
              <w:pStyle w:val="TableParagraph"/>
              <w:spacing w:before="57"/>
              <w:ind w:right="265"/>
              <w:rPr>
                <w:sz w:val="18"/>
              </w:rPr>
            </w:pPr>
            <w:r w:rsidRPr="00307A87">
              <w:rPr>
                <w:sz w:val="18"/>
              </w:rPr>
              <w:t>Permanent partial incapacity by accident, according to the scale.</w:t>
            </w:r>
            <w:r w:rsidRPr="00307A87">
              <w:rPr>
                <w:sz w:val="18"/>
              </w:rPr>
              <w:t xml:space="preserve"> Maximum...</w:t>
            </w:r>
          </w:p>
        </w:tc>
        <w:tc>
          <w:tcPr>
            <w:tcW w:w="2168" w:type="dxa"/>
          </w:tcPr>
          <w:p w14:paraId="47777931" w14:textId="77777777" w:rsidR="00994650" w:rsidRPr="00307A87" w:rsidRDefault="00994650">
            <w:pPr>
              <w:pStyle w:val="TableParagraph"/>
              <w:spacing w:before="10"/>
              <w:ind w:left="0"/>
            </w:pPr>
          </w:p>
          <w:p w14:paraId="4D712E48" w14:textId="77777777" w:rsidR="00994650" w:rsidRPr="00307A87" w:rsidRDefault="00BB28BD">
            <w:pPr>
              <w:pStyle w:val="TableParagraph"/>
              <w:spacing w:before="0"/>
              <w:ind w:left="1124"/>
              <w:rPr>
                <w:sz w:val="18"/>
              </w:rPr>
            </w:pPr>
            <w:r w:rsidRPr="00307A87">
              <w:rPr>
                <w:sz w:val="18"/>
              </w:rPr>
              <w:t>24,000 €</w:t>
            </w:r>
          </w:p>
        </w:tc>
      </w:tr>
      <w:tr w:rsidR="00994650" w:rsidRPr="00307A87" w14:paraId="0AD6A63B" w14:textId="77777777">
        <w:trPr>
          <w:trHeight w:val="327"/>
        </w:trPr>
        <w:tc>
          <w:tcPr>
            <w:tcW w:w="6318" w:type="dxa"/>
          </w:tcPr>
          <w:p w14:paraId="259D287D" w14:textId="77777777" w:rsidR="00994650" w:rsidRPr="00307A87" w:rsidRDefault="00BB28BD">
            <w:pPr>
              <w:pStyle w:val="TableParagraph"/>
              <w:spacing w:before="58"/>
              <w:rPr>
                <w:sz w:val="18"/>
              </w:rPr>
            </w:pPr>
            <w:r w:rsidRPr="00307A87">
              <w:rPr>
                <w:sz w:val="18"/>
              </w:rPr>
              <w:t>Medical expenses due to accident:</w:t>
            </w:r>
          </w:p>
        </w:tc>
        <w:tc>
          <w:tcPr>
            <w:tcW w:w="2168" w:type="dxa"/>
          </w:tcPr>
          <w:p w14:paraId="1927117D" w14:textId="77777777" w:rsidR="00994650" w:rsidRPr="00307A87" w:rsidRDefault="00994650">
            <w:pPr>
              <w:pStyle w:val="TableParagraph"/>
              <w:spacing w:before="0"/>
              <w:ind w:left="0"/>
              <w:rPr>
                <w:rFonts w:ascii="Times New Roman"/>
                <w:sz w:val="18"/>
              </w:rPr>
            </w:pPr>
          </w:p>
        </w:tc>
      </w:tr>
      <w:tr w:rsidR="00994650" w:rsidRPr="00307A87" w14:paraId="1D63DB05" w14:textId="77777777">
        <w:trPr>
          <w:trHeight w:val="326"/>
        </w:trPr>
        <w:tc>
          <w:tcPr>
            <w:tcW w:w="6318" w:type="dxa"/>
          </w:tcPr>
          <w:p w14:paraId="67B3D34A" w14:textId="77777777" w:rsidR="00994650" w:rsidRPr="00307A87" w:rsidRDefault="00BB28BD">
            <w:pPr>
              <w:pStyle w:val="TableParagraph"/>
              <w:ind w:left="485"/>
              <w:rPr>
                <w:sz w:val="18"/>
              </w:rPr>
            </w:pPr>
            <w:r w:rsidRPr="00307A87">
              <w:rPr>
                <w:sz w:val="18"/>
              </w:rPr>
              <w:t>In centres officially approved by the company.</w:t>
            </w:r>
          </w:p>
        </w:tc>
        <w:tc>
          <w:tcPr>
            <w:tcW w:w="2168" w:type="dxa"/>
          </w:tcPr>
          <w:p w14:paraId="78BD9E03" w14:textId="77777777" w:rsidR="00994650" w:rsidRPr="00307A87" w:rsidRDefault="00BB28BD">
            <w:pPr>
              <w:pStyle w:val="TableParagraph"/>
              <w:ind w:left="1155"/>
              <w:rPr>
                <w:sz w:val="18"/>
              </w:rPr>
            </w:pPr>
            <w:r w:rsidRPr="00307A87">
              <w:rPr>
                <w:sz w:val="18"/>
              </w:rPr>
              <w:t>Unlimited</w:t>
            </w:r>
          </w:p>
        </w:tc>
      </w:tr>
      <w:tr w:rsidR="00994650" w:rsidRPr="00307A87" w14:paraId="301C1A83" w14:textId="77777777">
        <w:trPr>
          <w:trHeight w:val="326"/>
        </w:trPr>
        <w:tc>
          <w:tcPr>
            <w:tcW w:w="6318" w:type="dxa"/>
          </w:tcPr>
          <w:p w14:paraId="1AD60119" w14:textId="77777777" w:rsidR="00994650" w:rsidRPr="00307A87" w:rsidRDefault="00BB28BD">
            <w:pPr>
              <w:pStyle w:val="TableParagraph"/>
              <w:ind w:left="485"/>
              <w:rPr>
                <w:sz w:val="18"/>
              </w:rPr>
            </w:pPr>
            <w:r w:rsidRPr="00307A87">
              <w:rPr>
                <w:sz w:val="18"/>
              </w:rPr>
              <w:t>In centres of free choice. Maximum...</w:t>
            </w:r>
          </w:p>
        </w:tc>
        <w:tc>
          <w:tcPr>
            <w:tcW w:w="2168" w:type="dxa"/>
          </w:tcPr>
          <w:p w14:paraId="1EF4CAFD" w14:textId="77777777" w:rsidR="00994650" w:rsidRPr="00307A87" w:rsidRDefault="00BB28BD">
            <w:pPr>
              <w:pStyle w:val="TableParagraph"/>
              <w:ind w:left="1373"/>
              <w:rPr>
                <w:sz w:val="18"/>
              </w:rPr>
            </w:pPr>
            <w:r w:rsidRPr="00307A87">
              <w:rPr>
                <w:sz w:val="18"/>
              </w:rPr>
              <w:t>600 €</w:t>
            </w:r>
          </w:p>
        </w:tc>
      </w:tr>
      <w:tr w:rsidR="00994650" w:rsidRPr="00307A87" w14:paraId="0EFF7D74" w14:textId="77777777">
        <w:trPr>
          <w:trHeight w:val="1067"/>
        </w:trPr>
        <w:tc>
          <w:tcPr>
            <w:tcW w:w="6318" w:type="dxa"/>
          </w:tcPr>
          <w:p w14:paraId="4131DBD2" w14:textId="77777777" w:rsidR="00994650" w:rsidRPr="00307A87" w:rsidRDefault="00BB28BD">
            <w:pPr>
              <w:pStyle w:val="TableParagraph"/>
              <w:ind w:right="265"/>
              <w:jc w:val="both"/>
              <w:rPr>
                <w:sz w:val="18"/>
              </w:rPr>
            </w:pPr>
            <w:r w:rsidRPr="00307A87">
              <w:rPr>
                <w:sz w:val="18"/>
              </w:rPr>
              <w:t>Refund of the amount of private lessons received as a result of an accident that prevents the insured person from attending classes for 20 consecutive days or more.</w:t>
            </w:r>
          </w:p>
          <w:p w14:paraId="30CAE507" w14:textId="77777777" w:rsidR="00994650" w:rsidRPr="00307A87" w:rsidRDefault="00BB28BD">
            <w:pPr>
              <w:pStyle w:val="TableParagraph"/>
              <w:spacing w:before="118"/>
              <w:jc w:val="both"/>
              <w:rPr>
                <w:sz w:val="18"/>
              </w:rPr>
            </w:pPr>
            <w:r w:rsidRPr="00307A87">
              <w:rPr>
                <w:sz w:val="18"/>
              </w:rPr>
              <w:t>Maximum three months, with a limit of...</w:t>
            </w:r>
          </w:p>
        </w:tc>
        <w:tc>
          <w:tcPr>
            <w:tcW w:w="2168" w:type="dxa"/>
          </w:tcPr>
          <w:p w14:paraId="72C0F9EF" w14:textId="77777777" w:rsidR="00994650" w:rsidRPr="00307A87" w:rsidRDefault="00994650">
            <w:pPr>
              <w:pStyle w:val="TableParagraph"/>
              <w:spacing w:before="0"/>
              <w:ind w:left="0"/>
              <w:rPr>
                <w:sz w:val="20"/>
              </w:rPr>
            </w:pPr>
          </w:p>
          <w:p w14:paraId="70412F19" w14:textId="77777777" w:rsidR="00994650" w:rsidRPr="00307A87" w:rsidRDefault="00994650">
            <w:pPr>
              <w:pStyle w:val="TableParagraph"/>
              <w:spacing w:before="0"/>
              <w:ind w:left="0"/>
              <w:rPr>
                <w:sz w:val="20"/>
              </w:rPr>
            </w:pPr>
          </w:p>
          <w:p w14:paraId="0FB8B3DE" w14:textId="77777777" w:rsidR="00994650" w:rsidRPr="00307A87" w:rsidRDefault="00994650">
            <w:pPr>
              <w:pStyle w:val="TableParagraph"/>
              <w:spacing w:before="4"/>
              <w:ind w:left="0"/>
              <w:rPr>
                <w:sz w:val="29"/>
              </w:rPr>
            </w:pPr>
          </w:p>
          <w:p w14:paraId="3BD900C6" w14:textId="77777777" w:rsidR="00994650" w:rsidRPr="00307A87" w:rsidRDefault="00BB28BD">
            <w:pPr>
              <w:pStyle w:val="TableParagraph"/>
              <w:spacing w:before="1"/>
              <w:ind w:left="1225"/>
              <w:rPr>
                <w:sz w:val="18"/>
              </w:rPr>
            </w:pPr>
            <w:r w:rsidRPr="00307A87">
              <w:rPr>
                <w:sz w:val="18"/>
              </w:rPr>
              <w:t>2,000 €</w:t>
            </w:r>
          </w:p>
        </w:tc>
      </w:tr>
      <w:tr w:rsidR="00994650" w:rsidRPr="00307A87" w14:paraId="6023A5D6" w14:textId="77777777">
        <w:trPr>
          <w:trHeight w:val="1087"/>
        </w:trPr>
        <w:tc>
          <w:tcPr>
            <w:tcW w:w="6318" w:type="dxa"/>
          </w:tcPr>
          <w:p w14:paraId="7A7C9697" w14:textId="77777777" w:rsidR="00994650" w:rsidRPr="00307A87" w:rsidRDefault="00BB28BD">
            <w:pPr>
              <w:pStyle w:val="TableParagraph"/>
              <w:ind w:right="266"/>
              <w:jc w:val="both"/>
              <w:rPr>
                <w:sz w:val="18"/>
              </w:rPr>
            </w:pPr>
            <w:r w:rsidRPr="00307A87">
              <w:rPr>
                <w:sz w:val="18"/>
              </w:rPr>
              <w:t>Accident that prevents the insured person from attending classes for 2 consecutive months or more, or this occurs during the 15 days prior to the final exams call.</w:t>
            </w:r>
          </w:p>
          <w:p w14:paraId="18AA1BB0" w14:textId="77777777" w:rsidR="00994650" w:rsidRPr="00307A87" w:rsidRDefault="00BB28BD">
            <w:pPr>
              <w:pStyle w:val="TableParagraph"/>
              <w:spacing w:before="118"/>
              <w:jc w:val="both"/>
              <w:rPr>
                <w:sz w:val="18"/>
              </w:rPr>
            </w:pPr>
            <w:r w:rsidRPr="00307A87">
              <w:rPr>
                <w:sz w:val="18"/>
              </w:rPr>
              <w:t>Partial refund of the registration fee, up to a maximum of...</w:t>
            </w:r>
          </w:p>
        </w:tc>
        <w:tc>
          <w:tcPr>
            <w:tcW w:w="2168" w:type="dxa"/>
          </w:tcPr>
          <w:p w14:paraId="50F4FA17" w14:textId="77777777" w:rsidR="00994650" w:rsidRPr="00307A87" w:rsidRDefault="00994650">
            <w:pPr>
              <w:pStyle w:val="TableParagraph"/>
              <w:spacing w:before="0"/>
              <w:ind w:left="0"/>
              <w:rPr>
                <w:sz w:val="20"/>
              </w:rPr>
            </w:pPr>
          </w:p>
          <w:p w14:paraId="612B2550" w14:textId="77777777" w:rsidR="00994650" w:rsidRPr="00307A87" w:rsidRDefault="00994650">
            <w:pPr>
              <w:pStyle w:val="TableParagraph"/>
              <w:spacing w:before="0"/>
              <w:ind w:left="0"/>
              <w:rPr>
                <w:sz w:val="20"/>
              </w:rPr>
            </w:pPr>
          </w:p>
          <w:p w14:paraId="4F43498D" w14:textId="77777777" w:rsidR="00994650" w:rsidRPr="00307A87" w:rsidRDefault="00994650">
            <w:pPr>
              <w:pStyle w:val="TableParagraph"/>
              <w:spacing w:before="5"/>
              <w:ind w:left="0"/>
              <w:rPr>
                <w:sz w:val="29"/>
              </w:rPr>
            </w:pPr>
          </w:p>
          <w:p w14:paraId="636977BE" w14:textId="77777777" w:rsidR="00994650" w:rsidRPr="00307A87" w:rsidRDefault="00BB28BD">
            <w:pPr>
              <w:pStyle w:val="TableParagraph"/>
              <w:spacing w:before="0"/>
              <w:ind w:left="1225"/>
              <w:rPr>
                <w:sz w:val="18"/>
              </w:rPr>
            </w:pPr>
            <w:r w:rsidRPr="00307A87">
              <w:rPr>
                <w:sz w:val="18"/>
              </w:rPr>
              <w:t>2,000 €</w:t>
            </w:r>
          </w:p>
        </w:tc>
      </w:tr>
      <w:tr w:rsidR="00994650" w:rsidRPr="00307A87" w14:paraId="663EE9CD" w14:textId="77777777">
        <w:trPr>
          <w:trHeight w:val="369"/>
        </w:trPr>
        <w:tc>
          <w:tcPr>
            <w:tcW w:w="6318" w:type="dxa"/>
          </w:tcPr>
          <w:p w14:paraId="529DFF92" w14:textId="77777777" w:rsidR="00994650" w:rsidRPr="00307A87" w:rsidRDefault="00BB28BD">
            <w:pPr>
              <w:pStyle w:val="TableParagraph"/>
              <w:spacing w:before="74"/>
              <w:ind w:left="200"/>
              <w:rPr>
                <w:b/>
                <w:sz w:val="20"/>
              </w:rPr>
            </w:pPr>
            <w:r w:rsidRPr="00307A87">
              <w:rPr>
                <w:b/>
                <w:sz w:val="20"/>
              </w:rPr>
              <w:t xml:space="preserve">3. </w:t>
            </w:r>
            <w:r w:rsidRPr="00307A87">
              <w:rPr>
                <w:b/>
                <w:sz w:val="20"/>
              </w:rPr>
              <w:t>FAMILY MISHAP</w:t>
            </w:r>
          </w:p>
        </w:tc>
        <w:tc>
          <w:tcPr>
            <w:tcW w:w="2168" w:type="dxa"/>
          </w:tcPr>
          <w:p w14:paraId="12627569" w14:textId="77777777" w:rsidR="00994650" w:rsidRPr="00307A87" w:rsidRDefault="00BB28BD">
            <w:pPr>
              <w:pStyle w:val="TableParagraph"/>
              <w:spacing w:before="95"/>
              <w:ind w:left="264"/>
              <w:rPr>
                <w:b/>
                <w:sz w:val="18"/>
              </w:rPr>
            </w:pPr>
            <w:r w:rsidRPr="00307A87">
              <w:rPr>
                <w:b/>
                <w:sz w:val="18"/>
              </w:rPr>
              <w:t>Insured capital</w:t>
            </w:r>
          </w:p>
        </w:tc>
      </w:tr>
      <w:tr w:rsidR="00994650" w:rsidRPr="00307A87" w14:paraId="5CBA2AED" w14:textId="77777777">
        <w:trPr>
          <w:trHeight w:val="535"/>
        </w:trPr>
        <w:tc>
          <w:tcPr>
            <w:tcW w:w="6318" w:type="dxa"/>
          </w:tcPr>
          <w:p w14:paraId="169C4134" w14:textId="77777777" w:rsidR="00994650" w:rsidRPr="00307A87" w:rsidRDefault="00BB28BD">
            <w:pPr>
              <w:pStyle w:val="TableParagraph"/>
              <w:spacing w:before="59"/>
              <w:ind w:right="265"/>
              <w:rPr>
                <w:sz w:val="18"/>
              </w:rPr>
            </w:pPr>
            <w:r w:rsidRPr="00307A87">
              <w:rPr>
                <w:sz w:val="18"/>
              </w:rPr>
              <w:t>Death of the father or mother due to an accident in public or private transport.</w:t>
            </w:r>
          </w:p>
        </w:tc>
        <w:tc>
          <w:tcPr>
            <w:tcW w:w="2168" w:type="dxa"/>
          </w:tcPr>
          <w:p w14:paraId="037E38AB" w14:textId="77777777" w:rsidR="00994650" w:rsidRPr="00307A87" w:rsidRDefault="00994650">
            <w:pPr>
              <w:pStyle w:val="TableParagraph"/>
              <w:spacing w:before="1"/>
              <w:ind w:left="0"/>
              <w:rPr>
                <w:sz w:val="23"/>
              </w:rPr>
            </w:pPr>
          </w:p>
          <w:p w14:paraId="1C50A442" w14:textId="77777777" w:rsidR="00994650" w:rsidRPr="00307A87" w:rsidRDefault="00BB28BD">
            <w:pPr>
              <w:pStyle w:val="TableParagraph"/>
              <w:spacing w:before="0"/>
              <w:ind w:left="1225"/>
              <w:rPr>
                <w:sz w:val="18"/>
              </w:rPr>
            </w:pPr>
            <w:r w:rsidRPr="00307A87">
              <w:rPr>
                <w:sz w:val="18"/>
              </w:rPr>
              <w:t>6,000 €</w:t>
            </w:r>
          </w:p>
        </w:tc>
      </w:tr>
      <w:tr w:rsidR="00994650" w:rsidRPr="00307A87" w14:paraId="15ED5090" w14:textId="77777777">
        <w:trPr>
          <w:trHeight w:val="554"/>
        </w:trPr>
        <w:tc>
          <w:tcPr>
            <w:tcW w:w="6318" w:type="dxa"/>
          </w:tcPr>
          <w:p w14:paraId="6D0DB3B7" w14:textId="77777777" w:rsidR="00994650" w:rsidRPr="00307A87" w:rsidRDefault="00BB28BD">
            <w:pPr>
              <w:pStyle w:val="TableParagraph"/>
              <w:ind w:right="265"/>
              <w:rPr>
                <w:sz w:val="18"/>
              </w:rPr>
            </w:pPr>
            <w:r w:rsidRPr="00307A87">
              <w:rPr>
                <w:sz w:val="18"/>
              </w:rPr>
              <w:t>Death of the father and mother in the same accident that occurred in public or private transport.</w:t>
            </w:r>
          </w:p>
        </w:tc>
        <w:tc>
          <w:tcPr>
            <w:tcW w:w="2168" w:type="dxa"/>
          </w:tcPr>
          <w:p w14:paraId="41B469B8" w14:textId="77777777" w:rsidR="00994650" w:rsidRPr="00307A87" w:rsidRDefault="00994650">
            <w:pPr>
              <w:pStyle w:val="TableParagraph"/>
              <w:spacing w:before="1"/>
              <w:ind w:left="0"/>
              <w:rPr>
                <w:sz w:val="23"/>
              </w:rPr>
            </w:pPr>
          </w:p>
          <w:p w14:paraId="41488399" w14:textId="77777777" w:rsidR="00994650" w:rsidRPr="00307A87" w:rsidRDefault="00BB28BD">
            <w:pPr>
              <w:pStyle w:val="TableParagraph"/>
              <w:spacing w:before="0"/>
              <w:ind w:left="1225"/>
              <w:rPr>
                <w:sz w:val="18"/>
              </w:rPr>
            </w:pPr>
            <w:r w:rsidRPr="00307A87">
              <w:rPr>
                <w:sz w:val="18"/>
              </w:rPr>
              <w:t>9,000 €</w:t>
            </w:r>
          </w:p>
        </w:tc>
      </w:tr>
      <w:tr w:rsidR="00994650" w:rsidRPr="00307A87" w14:paraId="36727E33" w14:textId="77777777">
        <w:trPr>
          <w:trHeight w:val="368"/>
        </w:trPr>
        <w:tc>
          <w:tcPr>
            <w:tcW w:w="6318" w:type="dxa"/>
          </w:tcPr>
          <w:p w14:paraId="4C385ED5" w14:textId="77777777" w:rsidR="00994650" w:rsidRPr="00307A87" w:rsidRDefault="00BB28BD">
            <w:pPr>
              <w:pStyle w:val="TableParagraph"/>
              <w:spacing w:before="74"/>
              <w:ind w:left="200"/>
              <w:rPr>
                <w:sz w:val="18"/>
              </w:rPr>
            </w:pPr>
            <w:r w:rsidRPr="00307A87">
              <w:rPr>
                <w:b/>
                <w:sz w:val="20"/>
              </w:rPr>
              <w:t xml:space="preserve">4. </w:t>
            </w:r>
            <w:r w:rsidRPr="00307A87">
              <w:rPr>
                <w:b/>
              </w:rPr>
              <w:t>TRAVEL ASSISTANCE ABROAD (maximum 90 days)</w:t>
            </w:r>
          </w:p>
        </w:tc>
        <w:tc>
          <w:tcPr>
            <w:tcW w:w="2168" w:type="dxa"/>
          </w:tcPr>
          <w:p w14:paraId="299AE5E6" w14:textId="77777777" w:rsidR="00994650" w:rsidRPr="00307A87" w:rsidRDefault="00BB28BD">
            <w:pPr>
              <w:pStyle w:val="TableParagraph"/>
              <w:spacing w:before="93"/>
              <w:ind w:left="264"/>
              <w:rPr>
                <w:b/>
                <w:sz w:val="18"/>
              </w:rPr>
            </w:pPr>
            <w:r w:rsidRPr="00307A87">
              <w:rPr>
                <w:b/>
                <w:sz w:val="18"/>
              </w:rPr>
              <w:t>Insured capital</w:t>
            </w:r>
          </w:p>
        </w:tc>
      </w:tr>
      <w:tr w:rsidR="00994650" w:rsidRPr="00307A87" w14:paraId="58D62437" w14:textId="77777777">
        <w:trPr>
          <w:trHeight w:val="329"/>
        </w:trPr>
        <w:tc>
          <w:tcPr>
            <w:tcW w:w="6318" w:type="dxa"/>
          </w:tcPr>
          <w:p w14:paraId="6160359B" w14:textId="77777777" w:rsidR="00994650" w:rsidRPr="00307A87" w:rsidRDefault="00BB28BD">
            <w:pPr>
              <w:pStyle w:val="TableParagraph"/>
              <w:spacing w:before="58"/>
              <w:rPr>
                <w:sz w:val="18"/>
              </w:rPr>
            </w:pPr>
            <w:r w:rsidRPr="00307A87">
              <w:rPr>
                <w:sz w:val="18"/>
              </w:rPr>
              <w:t>Medical expenses due to illness. Maximum...</w:t>
            </w:r>
          </w:p>
        </w:tc>
        <w:tc>
          <w:tcPr>
            <w:tcW w:w="2168" w:type="dxa"/>
          </w:tcPr>
          <w:p w14:paraId="42F5554C" w14:textId="77777777" w:rsidR="00994650" w:rsidRPr="00307A87" w:rsidRDefault="00BB28BD">
            <w:pPr>
              <w:pStyle w:val="TableParagraph"/>
              <w:spacing w:before="58"/>
              <w:ind w:left="1225"/>
              <w:rPr>
                <w:sz w:val="18"/>
              </w:rPr>
            </w:pPr>
            <w:r w:rsidRPr="00307A87">
              <w:rPr>
                <w:sz w:val="18"/>
              </w:rPr>
              <w:t>1,500 €</w:t>
            </w:r>
          </w:p>
        </w:tc>
      </w:tr>
      <w:tr w:rsidR="00994650" w:rsidRPr="00307A87" w14:paraId="54E2CB75" w14:textId="77777777">
        <w:trPr>
          <w:trHeight w:val="327"/>
        </w:trPr>
        <w:tc>
          <w:tcPr>
            <w:tcW w:w="6318" w:type="dxa"/>
          </w:tcPr>
          <w:p w14:paraId="2A38497E" w14:textId="77777777" w:rsidR="00994650" w:rsidRPr="00307A87" w:rsidRDefault="00BB28BD">
            <w:pPr>
              <w:pStyle w:val="TableParagraph"/>
              <w:spacing w:before="58"/>
              <w:rPr>
                <w:sz w:val="18"/>
              </w:rPr>
            </w:pPr>
            <w:r w:rsidRPr="00307A87">
              <w:rPr>
                <w:sz w:val="18"/>
              </w:rPr>
              <w:t>Sanitary transfer to the usual address.</w:t>
            </w:r>
          </w:p>
        </w:tc>
        <w:tc>
          <w:tcPr>
            <w:tcW w:w="2168" w:type="dxa"/>
          </w:tcPr>
          <w:p w14:paraId="4C6835BF" w14:textId="77777777" w:rsidR="00994650" w:rsidRPr="00307A87" w:rsidRDefault="00BB28BD">
            <w:pPr>
              <w:pStyle w:val="TableParagraph"/>
              <w:spacing w:before="58"/>
              <w:ind w:left="1203"/>
              <w:rPr>
                <w:sz w:val="18"/>
              </w:rPr>
            </w:pPr>
            <w:r w:rsidRPr="00307A87">
              <w:rPr>
                <w:sz w:val="18"/>
              </w:rPr>
              <w:t>Included</w:t>
            </w:r>
          </w:p>
        </w:tc>
      </w:tr>
      <w:tr w:rsidR="00994650" w:rsidRPr="00307A87" w14:paraId="4C763D5E" w14:textId="77777777">
        <w:trPr>
          <w:trHeight w:val="326"/>
        </w:trPr>
        <w:tc>
          <w:tcPr>
            <w:tcW w:w="6318" w:type="dxa"/>
          </w:tcPr>
          <w:p w14:paraId="1BA43700" w14:textId="77777777" w:rsidR="00994650" w:rsidRPr="00307A87" w:rsidRDefault="00BB28BD">
            <w:pPr>
              <w:pStyle w:val="TableParagraph"/>
              <w:spacing w:before="57"/>
              <w:rPr>
                <w:sz w:val="18"/>
              </w:rPr>
            </w:pPr>
            <w:r w:rsidRPr="00307A87">
              <w:rPr>
                <w:sz w:val="18"/>
              </w:rPr>
              <w:t>Travel of a family member in case of hospitalisation.</w:t>
            </w:r>
          </w:p>
        </w:tc>
        <w:tc>
          <w:tcPr>
            <w:tcW w:w="2168" w:type="dxa"/>
          </w:tcPr>
          <w:p w14:paraId="05DEB945" w14:textId="77777777" w:rsidR="00994650" w:rsidRPr="00307A87" w:rsidRDefault="00BB28BD">
            <w:pPr>
              <w:pStyle w:val="TableParagraph"/>
              <w:spacing w:before="57"/>
              <w:ind w:left="1203"/>
              <w:rPr>
                <w:sz w:val="18"/>
              </w:rPr>
            </w:pPr>
            <w:r w:rsidRPr="00307A87">
              <w:rPr>
                <w:sz w:val="18"/>
              </w:rPr>
              <w:t>Included</w:t>
            </w:r>
          </w:p>
        </w:tc>
      </w:tr>
      <w:tr w:rsidR="00994650" w:rsidRPr="00307A87" w14:paraId="3A0CFB6F" w14:textId="77777777">
        <w:trPr>
          <w:trHeight w:val="326"/>
        </w:trPr>
        <w:tc>
          <w:tcPr>
            <w:tcW w:w="6318" w:type="dxa"/>
          </w:tcPr>
          <w:p w14:paraId="6F1D2CEA" w14:textId="77777777" w:rsidR="00994650" w:rsidRPr="00307A87" w:rsidRDefault="00BB28BD">
            <w:pPr>
              <w:pStyle w:val="TableParagraph"/>
              <w:rPr>
                <w:sz w:val="18"/>
              </w:rPr>
            </w:pPr>
            <w:r w:rsidRPr="00307A87">
              <w:rPr>
                <w:sz w:val="18"/>
              </w:rPr>
              <w:t>Family stay. Amount per day (maximum 10 days).</w:t>
            </w:r>
          </w:p>
        </w:tc>
        <w:tc>
          <w:tcPr>
            <w:tcW w:w="2168" w:type="dxa"/>
          </w:tcPr>
          <w:p w14:paraId="4D51112E" w14:textId="77777777" w:rsidR="00994650" w:rsidRPr="00307A87" w:rsidRDefault="00BB28BD">
            <w:pPr>
              <w:pStyle w:val="TableParagraph"/>
              <w:ind w:left="0" w:right="339"/>
              <w:jc w:val="right"/>
              <w:rPr>
                <w:sz w:val="18"/>
              </w:rPr>
            </w:pPr>
            <w:r w:rsidRPr="00307A87">
              <w:rPr>
                <w:sz w:val="18"/>
              </w:rPr>
              <w:t>30 €</w:t>
            </w:r>
          </w:p>
        </w:tc>
      </w:tr>
      <w:tr w:rsidR="00994650" w:rsidRPr="00307A87" w14:paraId="0CDD6858" w14:textId="77777777">
        <w:trPr>
          <w:trHeight w:val="327"/>
        </w:trPr>
        <w:tc>
          <w:tcPr>
            <w:tcW w:w="6318" w:type="dxa"/>
          </w:tcPr>
          <w:p w14:paraId="1F16B67B" w14:textId="77777777" w:rsidR="00994650" w:rsidRPr="00307A87" w:rsidRDefault="00BB28BD">
            <w:pPr>
              <w:pStyle w:val="TableParagraph"/>
              <w:rPr>
                <w:sz w:val="18"/>
              </w:rPr>
            </w:pPr>
            <w:r w:rsidRPr="00307A87">
              <w:rPr>
                <w:sz w:val="18"/>
              </w:rPr>
              <w:t>Repatriation on death.</w:t>
            </w:r>
          </w:p>
        </w:tc>
        <w:tc>
          <w:tcPr>
            <w:tcW w:w="2168" w:type="dxa"/>
          </w:tcPr>
          <w:p w14:paraId="45634867" w14:textId="77777777" w:rsidR="00994650" w:rsidRPr="00307A87" w:rsidRDefault="00BB28BD">
            <w:pPr>
              <w:pStyle w:val="TableParagraph"/>
              <w:ind w:left="1203"/>
              <w:rPr>
                <w:sz w:val="18"/>
              </w:rPr>
            </w:pPr>
            <w:r w:rsidRPr="00307A87">
              <w:rPr>
                <w:sz w:val="18"/>
              </w:rPr>
              <w:t>Included</w:t>
            </w:r>
          </w:p>
        </w:tc>
      </w:tr>
      <w:tr w:rsidR="00994650" w:rsidRPr="00307A87" w14:paraId="7FE8B9C2" w14:textId="77777777">
        <w:trPr>
          <w:trHeight w:val="327"/>
        </w:trPr>
        <w:tc>
          <w:tcPr>
            <w:tcW w:w="6318" w:type="dxa"/>
          </w:tcPr>
          <w:p w14:paraId="24F8B20A" w14:textId="77777777" w:rsidR="00994650" w:rsidRPr="00307A87" w:rsidRDefault="00BB28BD">
            <w:pPr>
              <w:pStyle w:val="TableParagraph"/>
              <w:spacing w:before="58"/>
              <w:rPr>
                <w:sz w:val="18"/>
              </w:rPr>
            </w:pPr>
            <w:r w:rsidRPr="00307A87">
              <w:rPr>
                <w:sz w:val="18"/>
              </w:rPr>
              <w:t>Travel information service.</w:t>
            </w:r>
          </w:p>
        </w:tc>
        <w:tc>
          <w:tcPr>
            <w:tcW w:w="2168" w:type="dxa"/>
          </w:tcPr>
          <w:p w14:paraId="73D2FAB4" w14:textId="77777777" w:rsidR="00994650" w:rsidRPr="00307A87" w:rsidRDefault="00BB28BD">
            <w:pPr>
              <w:pStyle w:val="TableParagraph"/>
              <w:spacing w:before="58"/>
              <w:ind w:left="1203"/>
              <w:rPr>
                <w:sz w:val="18"/>
              </w:rPr>
            </w:pPr>
            <w:r w:rsidRPr="00307A87">
              <w:rPr>
                <w:sz w:val="18"/>
              </w:rPr>
              <w:t>Included</w:t>
            </w:r>
          </w:p>
        </w:tc>
      </w:tr>
      <w:tr w:rsidR="00994650" w:rsidRPr="00307A87" w14:paraId="0066AF13" w14:textId="77777777">
        <w:trPr>
          <w:trHeight w:val="263"/>
        </w:trPr>
        <w:tc>
          <w:tcPr>
            <w:tcW w:w="6318" w:type="dxa"/>
          </w:tcPr>
          <w:p w14:paraId="1E2B36BF" w14:textId="77777777" w:rsidR="00994650" w:rsidRPr="00307A87" w:rsidRDefault="00BB28BD">
            <w:pPr>
              <w:pStyle w:val="TableParagraph"/>
              <w:spacing w:line="187" w:lineRule="exact"/>
              <w:rPr>
                <w:sz w:val="18"/>
              </w:rPr>
            </w:pPr>
            <w:r w:rsidRPr="00307A87">
              <w:rPr>
                <w:sz w:val="18"/>
              </w:rPr>
              <w:t>Urgent message service.</w:t>
            </w:r>
          </w:p>
        </w:tc>
        <w:tc>
          <w:tcPr>
            <w:tcW w:w="2168" w:type="dxa"/>
          </w:tcPr>
          <w:p w14:paraId="7AE00D2F" w14:textId="77777777" w:rsidR="00994650" w:rsidRPr="00307A87" w:rsidRDefault="00BB28BD">
            <w:pPr>
              <w:pStyle w:val="TableParagraph"/>
              <w:spacing w:line="187" w:lineRule="exact"/>
              <w:ind w:left="1203"/>
              <w:rPr>
                <w:sz w:val="18"/>
              </w:rPr>
            </w:pPr>
            <w:r w:rsidRPr="00307A87">
              <w:rPr>
                <w:sz w:val="18"/>
              </w:rPr>
              <w:t>Included</w:t>
            </w:r>
          </w:p>
        </w:tc>
      </w:tr>
    </w:tbl>
    <w:p w14:paraId="7E572E10" w14:textId="77777777" w:rsidR="00BB28BD" w:rsidRPr="00307A87" w:rsidRDefault="00BB28BD"/>
    <w:sectPr w:rsidR="00BB28BD" w:rsidRPr="00307A87">
      <w:type w:val="continuous"/>
      <w:pgSz w:w="11910" w:h="16840"/>
      <w:pgMar w:top="600" w:right="1580" w:bottom="280" w:left="1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041BDB"/>
    <w:multiLevelType w:val="hybridMultilevel"/>
    <w:tmpl w:val="D3F4E41E"/>
    <w:lvl w:ilvl="0" w:tplc="D68422B4">
      <w:start w:val="1"/>
      <w:numFmt w:val="decimal"/>
      <w:lvlText w:val="%1."/>
      <w:lvlJc w:val="left"/>
      <w:pPr>
        <w:ind w:left="303" w:hanging="221"/>
        <w:jc w:val="left"/>
      </w:pPr>
      <w:rPr>
        <w:rFonts w:ascii="Arial" w:eastAsia="Arial" w:hAnsi="Arial" w:cs="Arial" w:hint="default"/>
        <w:b/>
        <w:bCs/>
        <w:w w:val="99"/>
        <w:sz w:val="20"/>
        <w:szCs w:val="20"/>
      </w:rPr>
    </w:lvl>
    <w:lvl w:ilvl="1" w:tplc="A496768C">
      <w:numFmt w:val="bullet"/>
      <w:lvlText w:val=""/>
      <w:lvlJc w:val="left"/>
      <w:pPr>
        <w:ind w:left="1023" w:hanging="360"/>
      </w:pPr>
      <w:rPr>
        <w:rFonts w:ascii="Symbol" w:eastAsia="Symbol" w:hAnsi="Symbol" w:cs="Symbol" w:hint="default"/>
        <w:sz w:val="18"/>
        <w:szCs w:val="18"/>
      </w:rPr>
    </w:lvl>
    <w:lvl w:ilvl="2" w:tplc="47865EC4">
      <w:numFmt w:val="bullet"/>
      <w:lvlText w:val="•"/>
      <w:lvlJc w:val="left"/>
      <w:pPr>
        <w:ind w:left="1882" w:hanging="360"/>
      </w:pPr>
      <w:rPr>
        <w:rFonts w:hint="default"/>
      </w:rPr>
    </w:lvl>
    <w:lvl w:ilvl="3" w:tplc="E2CC7038">
      <w:numFmt w:val="bullet"/>
      <w:lvlText w:val="•"/>
      <w:lvlJc w:val="left"/>
      <w:pPr>
        <w:ind w:left="2745" w:hanging="360"/>
      </w:pPr>
      <w:rPr>
        <w:rFonts w:hint="default"/>
      </w:rPr>
    </w:lvl>
    <w:lvl w:ilvl="4" w:tplc="9812997C">
      <w:numFmt w:val="bullet"/>
      <w:lvlText w:val="•"/>
      <w:lvlJc w:val="left"/>
      <w:pPr>
        <w:ind w:left="3608" w:hanging="360"/>
      </w:pPr>
      <w:rPr>
        <w:rFonts w:hint="default"/>
      </w:rPr>
    </w:lvl>
    <w:lvl w:ilvl="5" w:tplc="CBECA896">
      <w:numFmt w:val="bullet"/>
      <w:lvlText w:val="•"/>
      <w:lvlJc w:val="left"/>
      <w:pPr>
        <w:ind w:left="4471" w:hanging="360"/>
      </w:pPr>
      <w:rPr>
        <w:rFonts w:hint="default"/>
      </w:rPr>
    </w:lvl>
    <w:lvl w:ilvl="6" w:tplc="1E82A46A">
      <w:numFmt w:val="bullet"/>
      <w:lvlText w:val="•"/>
      <w:lvlJc w:val="left"/>
      <w:pPr>
        <w:ind w:left="5334" w:hanging="360"/>
      </w:pPr>
      <w:rPr>
        <w:rFonts w:hint="default"/>
      </w:rPr>
    </w:lvl>
    <w:lvl w:ilvl="7" w:tplc="0966F2D2">
      <w:numFmt w:val="bullet"/>
      <w:lvlText w:val="•"/>
      <w:lvlJc w:val="left"/>
      <w:pPr>
        <w:ind w:left="6197" w:hanging="360"/>
      </w:pPr>
      <w:rPr>
        <w:rFonts w:hint="default"/>
      </w:rPr>
    </w:lvl>
    <w:lvl w:ilvl="8" w:tplc="F1E442A8">
      <w:numFmt w:val="bullet"/>
      <w:lvlText w:val="•"/>
      <w:lvlJc w:val="left"/>
      <w:pPr>
        <w:ind w:left="70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994650"/>
    <w:rsid w:val="00307A87"/>
    <w:rsid w:val="00994650"/>
    <w:rsid w:val="00BB28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9DE0B"/>
  <w15:docId w15:val="{74CD8AC4-49E5-4A42-9A02-828929332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Ttulo1">
    <w:name w:val="heading 1"/>
    <w:basedOn w:val="Normal"/>
    <w:uiPriority w:val="9"/>
    <w:qFormat/>
    <w:pPr>
      <w:ind w:left="303"/>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2"/>
    </w:pPr>
    <w:rPr>
      <w:sz w:val="18"/>
      <w:szCs w:val="18"/>
    </w:rPr>
  </w:style>
  <w:style w:type="paragraph" w:styleId="Prrafodelista">
    <w:name w:val="List Paragraph"/>
    <w:basedOn w:val="Normal"/>
    <w:uiPriority w:val="1"/>
    <w:qFormat/>
    <w:pPr>
      <w:ind w:left="1023" w:hanging="360"/>
    </w:pPr>
  </w:style>
  <w:style w:type="paragraph" w:customStyle="1" w:styleId="TableParagraph">
    <w:name w:val="Table Paragraph"/>
    <w:basedOn w:val="Normal"/>
    <w:uiPriority w:val="1"/>
    <w:qFormat/>
    <w:pPr>
      <w:spacing w:before="56"/>
      <w:ind w:left="20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2068</Characters>
  <Application>Microsoft Office Word</Application>
  <DocSecurity>0</DocSecurity>
  <Lines>17</Lines>
  <Paragraphs>4</Paragraphs>
  <ScaleCrop>false</ScaleCrop>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SPARRAS</dc:creator>
  <cp:lastModifiedBy>Nuría</cp:lastModifiedBy>
  <cp:revision>2</cp:revision>
  <dcterms:created xsi:type="dcterms:W3CDTF">2020-07-07T12:38:00Z</dcterms:created>
  <dcterms:modified xsi:type="dcterms:W3CDTF">2020-07-07T11:01:00Z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2019-04-08T00:00:00Z</vt:filetime>
  </property>
  <property fmtid="{D5CDD505-2E9C-101B-9397-08002B2CF9AE}" pid="3" name="Creator">
    <vt:lpwstr>Microsoft® Word 2016</vt:lpwstr>
  </property>
  <property fmtid="{D5CDD505-2E9C-101B-9397-08002B2CF9AE}" pid="4" name="LastSaved">
    <vt:filetime>2020-07-07T00:00:00Z</vt:filetime>
  </property>
</Properties>
</file>